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FBACC" w14:textId="00511BF8" w:rsidR="00E90E49" w:rsidRPr="00F6302A" w:rsidRDefault="00E90E49" w:rsidP="00E35559">
      <w:pPr>
        <w:pStyle w:val="3GPPHeader"/>
        <w:spacing w:after="60"/>
        <w:rPr>
          <w:sz w:val="32"/>
          <w:szCs w:val="32"/>
          <w:highlight w:val="yellow"/>
          <w:lang w:val="en-US"/>
        </w:rPr>
      </w:pPr>
      <w:r w:rsidRPr="00F6302A">
        <w:rPr>
          <w:lang w:val="en-US"/>
        </w:rPr>
        <w:t>3GPP TSG-RAN WG</w:t>
      </w:r>
      <w:r w:rsidR="00B475E2">
        <w:rPr>
          <w:lang w:val="en-US"/>
        </w:rPr>
        <w:t>4</w:t>
      </w:r>
      <w:r w:rsidRPr="00F6302A">
        <w:rPr>
          <w:lang w:val="en-US"/>
        </w:rPr>
        <w:t xml:space="preserve"> #</w:t>
      </w:r>
      <w:r w:rsidR="00B475E2">
        <w:rPr>
          <w:lang w:val="en-US"/>
        </w:rPr>
        <w:t>96-e</w:t>
      </w:r>
      <w:r w:rsidRPr="00F6302A">
        <w:rPr>
          <w:lang w:val="en-US"/>
        </w:rPr>
        <w:tab/>
      </w:r>
      <w:r w:rsidR="00DE761A">
        <w:rPr>
          <w:sz w:val="32"/>
          <w:szCs w:val="32"/>
          <w:lang w:val="en-US"/>
        </w:rPr>
        <w:t>R4</w:t>
      </w:r>
      <w:r w:rsidR="00091557" w:rsidRPr="00F6302A">
        <w:rPr>
          <w:sz w:val="32"/>
          <w:szCs w:val="32"/>
          <w:lang w:val="en-US"/>
        </w:rPr>
        <w:t>-</w:t>
      </w:r>
      <w:r w:rsidR="00901899">
        <w:rPr>
          <w:sz w:val="32"/>
          <w:szCs w:val="32"/>
          <w:lang w:val="en-US"/>
        </w:rPr>
        <w:t>20</w:t>
      </w:r>
      <w:r w:rsidR="00E54DB2">
        <w:rPr>
          <w:sz w:val="32"/>
          <w:szCs w:val="32"/>
          <w:lang w:val="en-US"/>
        </w:rPr>
        <w:t>10843</w:t>
      </w:r>
    </w:p>
    <w:p w14:paraId="3A6DE573" w14:textId="77777777" w:rsidR="00E90E49" w:rsidRPr="00F84FC2" w:rsidRDefault="00B475E2" w:rsidP="00311702">
      <w:pPr>
        <w:pStyle w:val="3GPPHeader"/>
        <w:rPr>
          <w:lang w:val="en-US"/>
        </w:rPr>
      </w:pPr>
      <w:bookmarkStart w:id="0" w:name="_GoBack"/>
      <w:bookmarkEnd w:id="0"/>
      <w:r w:rsidRPr="00F84FC2">
        <w:rPr>
          <w:lang w:val="en-US"/>
        </w:rPr>
        <w:t>Electronic meeting</w:t>
      </w:r>
      <w:r w:rsidR="0027144F" w:rsidRPr="00F84FC2">
        <w:rPr>
          <w:lang w:val="en-US"/>
        </w:rPr>
        <w:t xml:space="preserve">, </w:t>
      </w:r>
      <w:r w:rsidR="00901899" w:rsidRPr="00F84FC2">
        <w:rPr>
          <w:lang w:val="en-US"/>
        </w:rPr>
        <w:t>17</w:t>
      </w:r>
      <w:r w:rsidR="0027144F" w:rsidRPr="00F84FC2">
        <w:rPr>
          <w:lang w:val="en-US"/>
        </w:rPr>
        <w:t xml:space="preserve">th – </w:t>
      </w:r>
      <w:r w:rsidR="00901899" w:rsidRPr="00F84FC2">
        <w:rPr>
          <w:lang w:val="en-US"/>
        </w:rPr>
        <w:t>28</w:t>
      </w:r>
      <w:r w:rsidR="0027144F" w:rsidRPr="00F84FC2">
        <w:rPr>
          <w:lang w:val="en-US"/>
        </w:rPr>
        <w:t xml:space="preserve">th </w:t>
      </w:r>
      <w:r w:rsidR="00901899" w:rsidRPr="00F84FC2">
        <w:rPr>
          <w:lang w:val="en-US"/>
        </w:rPr>
        <w:t>August</w:t>
      </w:r>
      <w:r w:rsidR="0027144F" w:rsidRPr="00F84FC2">
        <w:rPr>
          <w:lang w:val="en-US"/>
        </w:rPr>
        <w:t xml:space="preserve"> 20</w:t>
      </w:r>
      <w:r w:rsidR="00901899" w:rsidRPr="00F84FC2">
        <w:rPr>
          <w:lang w:val="en-US"/>
        </w:rPr>
        <w:t>20</w:t>
      </w:r>
    </w:p>
    <w:p w14:paraId="25082F3E" w14:textId="77777777" w:rsidR="00E90E49" w:rsidRPr="00F84FC2" w:rsidRDefault="00E90E49" w:rsidP="00357380">
      <w:pPr>
        <w:pStyle w:val="3GPPHeader"/>
        <w:rPr>
          <w:lang w:val="en-US"/>
        </w:rPr>
      </w:pPr>
    </w:p>
    <w:p w14:paraId="4609156B" w14:textId="77777777" w:rsidR="00E90E49" w:rsidRPr="00F84FC2" w:rsidRDefault="00E90E49" w:rsidP="00F64C2B">
      <w:pPr>
        <w:pStyle w:val="3GPPHeader"/>
        <w:rPr>
          <w:sz w:val="22"/>
          <w:lang w:val="en-US"/>
        </w:rPr>
      </w:pPr>
      <w:r w:rsidRPr="00F84FC2">
        <w:rPr>
          <w:sz w:val="22"/>
          <w:lang w:val="en-US"/>
        </w:rPr>
        <w:t xml:space="preserve">Source: </w:t>
      </w:r>
      <w:r w:rsidRPr="00F84FC2">
        <w:rPr>
          <w:sz w:val="22"/>
          <w:lang w:val="en-US"/>
        </w:rPr>
        <w:tab/>
      </w:r>
      <w:r w:rsidR="00F64C2B" w:rsidRPr="00F84FC2">
        <w:rPr>
          <w:sz w:val="22"/>
          <w:lang w:val="en-US"/>
        </w:rPr>
        <w:t>Ericsson</w:t>
      </w:r>
      <w:r w:rsidRPr="00F84FC2">
        <w:rPr>
          <w:sz w:val="22"/>
          <w:lang w:val="en-US"/>
        </w:rPr>
        <w:t xml:space="preserve"> </w:t>
      </w:r>
    </w:p>
    <w:p w14:paraId="6587970A" w14:textId="58F551D7" w:rsidR="00E90E49" w:rsidRPr="00F84FC2" w:rsidRDefault="00E90E49" w:rsidP="00311702">
      <w:pPr>
        <w:pStyle w:val="3GPPHeader"/>
        <w:rPr>
          <w:sz w:val="22"/>
          <w:lang w:val="en-US"/>
        </w:rPr>
      </w:pPr>
      <w:r w:rsidRPr="00F84FC2">
        <w:rPr>
          <w:sz w:val="22"/>
          <w:lang w:val="en-US"/>
        </w:rPr>
        <w:t xml:space="preserve">Title:  </w:t>
      </w:r>
      <w:r w:rsidRPr="00F84FC2">
        <w:rPr>
          <w:sz w:val="22"/>
          <w:lang w:val="en-US"/>
        </w:rPr>
        <w:tab/>
      </w:r>
      <w:r w:rsidR="00E54DB2" w:rsidRPr="00F84FC2">
        <w:rPr>
          <w:sz w:val="22"/>
          <w:lang w:val="en-US"/>
        </w:rPr>
        <w:t>IAB demodulation general aspects</w:t>
      </w:r>
    </w:p>
    <w:p w14:paraId="1DBA4D6D" w14:textId="036C2605" w:rsidR="00DE761A" w:rsidRPr="00F84FC2" w:rsidRDefault="00DE761A" w:rsidP="00DE761A">
      <w:pPr>
        <w:pStyle w:val="3GPPHeader"/>
        <w:rPr>
          <w:sz w:val="22"/>
          <w:lang w:val="en-US"/>
        </w:rPr>
      </w:pPr>
      <w:r w:rsidRPr="00F84FC2">
        <w:rPr>
          <w:sz w:val="22"/>
          <w:lang w:val="en-US"/>
        </w:rPr>
        <w:t>Agenda Item:</w:t>
      </w:r>
      <w:r w:rsidRPr="00F84FC2">
        <w:rPr>
          <w:sz w:val="22"/>
          <w:lang w:val="en-US"/>
        </w:rPr>
        <w:tab/>
      </w:r>
      <w:r w:rsidR="00F84FC2" w:rsidRPr="00F84FC2">
        <w:rPr>
          <w:sz w:val="22"/>
          <w:lang w:val="en-US"/>
        </w:rPr>
        <w:t>7.4.5.1</w:t>
      </w:r>
    </w:p>
    <w:p w14:paraId="0F390C91" w14:textId="0DC11D76" w:rsidR="00E90E49" w:rsidRPr="00D66155" w:rsidRDefault="00E90E49" w:rsidP="00D546FF">
      <w:pPr>
        <w:pStyle w:val="3GPPHeader"/>
        <w:rPr>
          <w:sz w:val="22"/>
          <w:lang w:val="en-US"/>
        </w:rPr>
      </w:pPr>
      <w:r w:rsidRPr="00F84FC2">
        <w:rPr>
          <w:sz w:val="22"/>
          <w:lang w:val="en-US"/>
        </w:rPr>
        <w:t>Document for:</w:t>
      </w:r>
      <w:r w:rsidRPr="00F84FC2">
        <w:rPr>
          <w:sz w:val="22"/>
          <w:lang w:val="en-US"/>
        </w:rPr>
        <w:tab/>
      </w:r>
      <w:r w:rsidR="00E54DB2" w:rsidRPr="00F84FC2">
        <w:rPr>
          <w:sz w:val="22"/>
          <w:lang w:val="en-US"/>
        </w:rPr>
        <w:t>Approval</w:t>
      </w:r>
    </w:p>
    <w:p w14:paraId="1AA3D279" w14:textId="77777777" w:rsidR="00E90E49" w:rsidRPr="00F6302A" w:rsidRDefault="00E90E49" w:rsidP="00E90E49">
      <w:pPr>
        <w:rPr>
          <w:lang w:val="en-US"/>
        </w:rPr>
      </w:pPr>
    </w:p>
    <w:p w14:paraId="19CE1D7D" w14:textId="77777777" w:rsidR="00E90E49" w:rsidRPr="00F6302A" w:rsidRDefault="00E90E49" w:rsidP="00E90E49">
      <w:pPr>
        <w:pStyle w:val="Heading1"/>
        <w:rPr>
          <w:lang w:val="en-US"/>
        </w:rPr>
      </w:pPr>
      <w:r w:rsidRPr="00F6302A">
        <w:rPr>
          <w:lang w:val="en-US"/>
        </w:rPr>
        <w:t>Introduction</w:t>
      </w:r>
    </w:p>
    <w:p w14:paraId="134DFA5D" w14:textId="77777777" w:rsidR="00477768" w:rsidRPr="00F6302A" w:rsidRDefault="0094547B" w:rsidP="0027144F">
      <w:pPr>
        <w:pStyle w:val="BodyText"/>
        <w:rPr>
          <w:lang w:val="en-US"/>
        </w:rPr>
      </w:pPr>
      <w:r>
        <w:rPr>
          <w:lang w:val="en-US"/>
        </w:rPr>
        <w:t>During recent months, work on IAB RF and RRM core requirements has proceeded in RAN4 and is approaching completion. The performance work for IAB will now commence. This contribution provides an overview of what we believe are some of the important aspects of IAB that have been agreed during the core RAN4 discussion, followed by some considerations and views for the performance part.</w:t>
      </w:r>
    </w:p>
    <w:p w14:paraId="318A6CDF" w14:textId="77777777" w:rsidR="004000E8" w:rsidRPr="00F6302A" w:rsidRDefault="0094547B" w:rsidP="004000E8">
      <w:pPr>
        <w:pStyle w:val="Heading1"/>
        <w:rPr>
          <w:lang w:val="en-US"/>
        </w:rPr>
      </w:pPr>
      <w:r>
        <w:rPr>
          <w:lang w:val="en-US"/>
        </w:rPr>
        <w:t>Overview of key IAB aspects</w:t>
      </w:r>
    </w:p>
    <w:p w14:paraId="267F6B80" w14:textId="77777777" w:rsidR="0094547B" w:rsidRDefault="0094547B" w:rsidP="00132FD0">
      <w:pPr>
        <w:rPr>
          <w:lang w:val="en-US"/>
        </w:rPr>
      </w:pPr>
      <w:r>
        <w:rPr>
          <w:lang w:val="en-US"/>
        </w:rPr>
        <w:t xml:space="preserve">An IAB node is a node that serves UEs traffic </w:t>
      </w:r>
      <w:r w:rsidR="00A45BE6">
        <w:rPr>
          <w:lang w:val="en-US"/>
        </w:rPr>
        <w:t xml:space="preserve">in </w:t>
      </w:r>
      <w:proofErr w:type="gramStart"/>
      <w:r w:rsidR="00A45BE6">
        <w:rPr>
          <w:lang w:val="en-US"/>
        </w:rPr>
        <w:t>exactly the same</w:t>
      </w:r>
      <w:proofErr w:type="gramEnd"/>
      <w:r w:rsidR="00A45BE6">
        <w:rPr>
          <w:lang w:val="en-US"/>
        </w:rPr>
        <w:t xml:space="preserve"> manner as a </w:t>
      </w:r>
      <w:proofErr w:type="spellStart"/>
      <w:r w:rsidR="00A45BE6">
        <w:rPr>
          <w:lang w:val="en-US"/>
        </w:rPr>
        <w:t>gNB</w:t>
      </w:r>
      <w:proofErr w:type="spellEnd"/>
      <w:r w:rsidR="00620061">
        <w:rPr>
          <w:lang w:val="en-US"/>
        </w:rPr>
        <w:t xml:space="preserve"> whilst</w:t>
      </w:r>
      <w:r w:rsidR="00A45BE6">
        <w:rPr>
          <w:lang w:val="en-US"/>
        </w:rPr>
        <w:t xml:space="preserve"> backhaul is carried wirelessly over </w:t>
      </w:r>
      <w:proofErr w:type="spellStart"/>
      <w:r w:rsidR="00A45BE6">
        <w:rPr>
          <w:lang w:val="en-US"/>
        </w:rPr>
        <w:t>Uu</w:t>
      </w:r>
      <w:proofErr w:type="spellEnd"/>
      <w:r w:rsidR="00A45BE6">
        <w:rPr>
          <w:lang w:val="en-US"/>
        </w:rPr>
        <w:t xml:space="preserve"> using NR. A top-level architecture for an IAB deployment is shown in figure 1. The IAB node</w:t>
      </w:r>
      <w:r w:rsidR="00887F78">
        <w:rPr>
          <w:lang w:val="en-US"/>
        </w:rPr>
        <w:t xml:space="preserve"> is served with backhaul traffic by a so-called “parent” </w:t>
      </w:r>
      <w:proofErr w:type="spellStart"/>
      <w:r w:rsidR="00887F78">
        <w:rPr>
          <w:lang w:val="en-US"/>
        </w:rPr>
        <w:t>gNB</w:t>
      </w:r>
      <w:proofErr w:type="spellEnd"/>
      <w:r w:rsidR="00887F78">
        <w:rPr>
          <w:lang w:val="en-US"/>
        </w:rPr>
        <w:t xml:space="preserve"> and serves connected UEs. The IAB is logically divided into a “DU” part, which serves UEs and is the same as a DU in a </w:t>
      </w:r>
      <w:proofErr w:type="spellStart"/>
      <w:r w:rsidR="00887F78">
        <w:rPr>
          <w:lang w:val="en-US"/>
        </w:rPr>
        <w:t>gNB</w:t>
      </w:r>
      <w:proofErr w:type="spellEnd"/>
      <w:r w:rsidR="00887F78">
        <w:rPr>
          <w:lang w:val="en-US"/>
        </w:rPr>
        <w:t xml:space="preserve"> and a “MT” part, which performs backhaul and is in protocol terms </w:t>
      </w:r>
      <w:proofErr w:type="gramStart"/>
      <w:r w:rsidR="00887F78">
        <w:rPr>
          <w:lang w:val="en-US"/>
        </w:rPr>
        <w:t>similar to</w:t>
      </w:r>
      <w:proofErr w:type="gramEnd"/>
      <w:r w:rsidR="00887F78">
        <w:rPr>
          <w:lang w:val="en-US"/>
        </w:rPr>
        <w:t xml:space="preserve"> a UE.</w:t>
      </w:r>
    </w:p>
    <w:p w14:paraId="014BC1BB" w14:textId="77777777" w:rsidR="00887F78" w:rsidRDefault="00887F78" w:rsidP="00132FD0">
      <w:pPr>
        <w:rPr>
          <w:lang w:val="en-US"/>
        </w:rPr>
      </w:pPr>
    </w:p>
    <w:p w14:paraId="5253C733" w14:textId="5277F81A" w:rsidR="00887F78" w:rsidRDefault="00B6709B" w:rsidP="00BC10D6">
      <w:pPr>
        <w:jc w:val="center"/>
        <w:rPr>
          <w:lang w:val="en-US"/>
        </w:rPr>
      </w:pPr>
      <w:r>
        <w:rPr>
          <w:noProof/>
          <w:lang w:val="en-US"/>
        </w:rPr>
        <w:drawing>
          <wp:inline distT="0" distB="0" distL="0" distR="0" wp14:anchorId="700A7032" wp14:editId="1A7D42CA">
            <wp:extent cx="4150360" cy="1163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0360" cy="1163320"/>
                    </a:xfrm>
                    <a:prstGeom prst="rect">
                      <a:avLst/>
                    </a:prstGeom>
                    <a:noFill/>
                  </pic:spPr>
                </pic:pic>
              </a:graphicData>
            </a:graphic>
          </wp:inline>
        </w:drawing>
      </w:r>
    </w:p>
    <w:p w14:paraId="730DC611" w14:textId="77777777" w:rsidR="00887F78" w:rsidRDefault="00887F78" w:rsidP="00132FD0">
      <w:pPr>
        <w:rPr>
          <w:lang w:val="en-US"/>
        </w:rPr>
      </w:pPr>
      <w:r>
        <w:rPr>
          <w:lang w:val="en-US"/>
        </w:rPr>
        <w:t>Generically, the wireless backhaul can have multiple hops. An IAB may serve another IAB; in this case the IAB DU becomes a parent to the IAB-MT further down the chain.</w:t>
      </w:r>
    </w:p>
    <w:p w14:paraId="72747DF9" w14:textId="77777777" w:rsidR="00887F78" w:rsidRDefault="00887F78" w:rsidP="00132FD0">
      <w:pPr>
        <w:rPr>
          <w:lang w:val="en-US"/>
        </w:rPr>
      </w:pPr>
    </w:p>
    <w:p w14:paraId="7A11A6C6" w14:textId="7E9D65D1" w:rsidR="00887F78" w:rsidRDefault="00B6709B" w:rsidP="00BC10D6">
      <w:pPr>
        <w:jc w:val="center"/>
        <w:rPr>
          <w:lang w:val="en-US"/>
        </w:rPr>
      </w:pPr>
      <w:r>
        <w:rPr>
          <w:noProof/>
          <w:lang w:val="en-US"/>
        </w:rPr>
        <w:lastRenderedPageBreak/>
        <w:drawing>
          <wp:inline distT="0" distB="0" distL="0" distR="0" wp14:anchorId="39CF1623" wp14:editId="26895C0F">
            <wp:extent cx="5391150" cy="1333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1150" cy="1333500"/>
                    </a:xfrm>
                    <a:prstGeom prst="rect">
                      <a:avLst/>
                    </a:prstGeom>
                    <a:noFill/>
                  </pic:spPr>
                </pic:pic>
              </a:graphicData>
            </a:graphic>
          </wp:inline>
        </w:drawing>
      </w:r>
    </w:p>
    <w:p w14:paraId="1237FABC" w14:textId="77777777" w:rsidR="00887F78" w:rsidRDefault="00887F78" w:rsidP="00132FD0">
      <w:pPr>
        <w:rPr>
          <w:lang w:val="en-US"/>
        </w:rPr>
      </w:pPr>
    </w:p>
    <w:p w14:paraId="089ABB11" w14:textId="637EA4D7" w:rsidR="00887F78" w:rsidRDefault="00887F78" w:rsidP="00132FD0">
      <w:pPr>
        <w:rPr>
          <w:lang w:val="en-US"/>
        </w:rPr>
      </w:pPr>
      <w:r>
        <w:rPr>
          <w:lang w:val="en-US"/>
        </w:rPr>
        <w:t xml:space="preserve">In baseband terms, the IAB-MT is </w:t>
      </w:r>
      <w:proofErr w:type="gramStart"/>
      <w:r>
        <w:rPr>
          <w:lang w:val="en-US"/>
        </w:rPr>
        <w:t>similar to</w:t>
      </w:r>
      <w:proofErr w:type="gramEnd"/>
      <w:r>
        <w:rPr>
          <w:lang w:val="en-US"/>
        </w:rPr>
        <w:t xml:space="preserve"> a UE. The receiver detects the downlink signals and demodulates the downlink data and control channels (i.e. PDCCH, PDSCH</w:t>
      </w:r>
      <w:r w:rsidR="00620061">
        <w:rPr>
          <w:lang w:val="en-US"/>
        </w:rPr>
        <w:t xml:space="preserve"> etc.</w:t>
      </w:r>
      <w:r>
        <w:rPr>
          <w:lang w:val="en-US"/>
        </w:rPr>
        <w:t xml:space="preserve">). The transmitter uses uplink channels (PUCCH, PUSCH). The IAB-DU is in baseband terms the same as a </w:t>
      </w:r>
      <w:proofErr w:type="spellStart"/>
      <w:r>
        <w:rPr>
          <w:lang w:val="en-US"/>
        </w:rPr>
        <w:t>gNB</w:t>
      </w:r>
      <w:proofErr w:type="spellEnd"/>
      <w:r>
        <w:rPr>
          <w:lang w:val="en-US"/>
        </w:rPr>
        <w:t>.</w:t>
      </w:r>
    </w:p>
    <w:p w14:paraId="33073A91" w14:textId="77777777" w:rsidR="00887F78" w:rsidRDefault="00887F78" w:rsidP="00132FD0">
      <w:pPr>
        <w:rPr>
          <w:lang w:val="en-US"/>
        </w:rPr>
      </w:pPr>
      <w:r>
        <w:rPr>
          <w:lang w:val="en-US"/>
        </w:rPr>
        <w:t xml:space="preserve">Although functionally divided into </w:t>
      </w:r>
      <w:r w:rsidR="001F7630">
        <w:rPr>
          <w:lang w:val="en-US"/>
        </w:rPr>
        <w:t>DU and MT, and IAB may be implemented as a single hardware entity. Alternatively, the DU and MT may be physically separate hardware.</w:t>
      </w:r>
    </w:p>
    <w:p w14:paraId="375E99C7" w14:textId="77777777" w:rsidR="001F7630" w:rsidRDefault="001F7630" w:rsidP="00132FD0">
      <w:pPr>
        <w:rPr>
          <w:lang w:val="en-US"/>
        </w:rPr>
      </w:pPr>
      <w:r>
        <w:rPr>
          <w:lang w:val="en-US"/>
        </w:rPr>
        <w:t>During the core WI, two categories of IAB have been identified, called “wide area” IAB and “local area” IAB. These two categories represent very different kinds of IAB hardware architecture and deployment scenarios.</w:t>
      </w:r>
    </w:p>
    <w:p w14:paraId="433E3D9C" w14:textId="77777777" w:rsidR="001F7630" w:rsidRDefault="001F7630" w:rsidP="00132FD0">
      <w:pPr>
        <w:rPr>
          <w:lang w:val="en-US"/>
        </w:rPr>
      </w:pPr>
      <w:r>
        <w:rPr>
          <w:lang w:val="en-US"/>
        </w:rPr>
        <w:t xml:space="preserve">“Wide area” IAB have relatively high EIRP and are expected to be procured by operators in a planned deployment. The RF requirements on wide area IAB imply that the operator must be careful in positioning the IAB a minimum distance from the parent, </w:t>
      </w:r>
      <w:proofErr w:type="gramStart"/>
      <w:r>
        <w:rPr>
          <w:lang w:val="en-US"/>
        </w:rPr>
        <w:t>and also</w:t>
      </w:r>
      <w:proofErr w:type="gramEnd"/>
      <w:r>
        <w:rPr>
          <w:lang w:val="en-US"/>
        </w:rPr>
        <w:t xml:space="preserve"> carefully in respect to </w:t>
      </w:r>
      <w:proofErr w:type="spellStart"/>
      <w:r>
        <w:rPr>
          <w:lang w:val="en-US"/>
        </w:rPr>
        <w:t>gNB</w:t>
      </w:r>
      <w:proofErr w:type="spellEnd"/>
      <w:r>
        <w:rPr>
          <w:lang w:val="en-US"/>
        </w:rPr>
        <w:t xml:space="preserve"> and IABs of neighbor operators. The IAB is expected to be in a fixed location and have a clear radio channel towards the parent that does not vary much. In hardware terms, a wide area IAB is </w:t>
      </w:r>
      <w:proofErr w:type="gramStart"/>
      <w:r>
        <w:rPr>
          <w:lang w:val="en-US"/>
        </w:rPr>
        <w:t>similar to</w:t>
      </w:r>
      <w:proofErr w:type="gramEnd"/>
      <w:r>
        <w:rPr>
          <w:lang w:val="en-US"/>
        </w:rPr>
        <w:t xml:space="preserve"> a </w:t>
      </w:r>
      <w:proofErr w:type="spellStart"/>
      <w:r>
        <w:rPr>
          <w:lang w:val="en-US"/>
        </w:rPr>
        <w:t>basestation</w:t>
      </w:r>
      <w:proofErr w:type="spellEnd"/>
      <w:r>
        <w:rPr>
          <w:lang w:val="en-US"/>
        </w:rPr>
        <w:t>.</w:t>
      </w:r>
    </w:p>
    <w:p w14:paraId="45CE6D1A" w14:textId="77777777" w:rsidR="001F7630" w:rsidRDefault="001F7630" w:rsidP="00132FD0">
      <w:pPr>
        <w:rPr>
          <w:lang w:val="en-US"/>
        </w:rPr>
      </w:pPr>
      <w:r>
        <w:rPr>
          <w:lang w:val="en-US"/>
        </w:rPr>
        <w:t xml:space="preserve">“Local area” IAB have been specified with RF requirements that enable them to be deployed in a much more ad-hoc manner, without the need for operator planning of their deployment. </w:t>
      </w:r>
      <w:r w:rsidR="0069164B">
        <w:rPr>
          <w:lang w:val="en-US"/>
        </w:rPr>
        <w:t xml:space="preserve">There is no need to pay any more attention to their location in respect to the parent and other BS than there is for a UE. They may experience changing and unpredictable radio channels. They are likely to have lower EIRP than the wide area. In hardware terms, they are more </w:t>
      </w:r>
      <w:proofErr w:type="gramStart"/>
      <w:r w:rsidR="0069164B">
        <w:rPr>
          <w:lang w:val="en-US"/>
        </w:rPr>
        <w:t>similar to</w:t>
      </w:r>
      <w:proofErr w:type="gramEnd"/>
      <w:r w:rsidR="0069164B">
        <w:rPr>
          <w:lang w:val="en-US"/>
        </w:rPr>
        <w:t xml:space="preserve"> UEs than </w:t>
      </w:r>
      <w:proofErr w:type="spellStart"/>
      <w:r w:rsidR="0069164B">
        <w:rPr>
          <w:lang w:val="en-US"/>
        </w:rPr>
        <w:t>basestations</w:t>
      </w:r>
      <w:proofErr w:type="spellEnd"/>
      <w:r w:rsidR="0069164B">
        <w:rPr>
          <w:lang w:val="en-US"/>
        </w:rPr>
        <w:t>.</w:t>
      </w:r>
    </w:p>
    <w:p w14:paraId="1B3C59B6" w14:textId="77777777" w:rsidR="0069164B" w:rsidRDefault="0069164B" w:rsidP="00132FD0">
      <w:pPr>
        <w:rPr>
          <w:lang w:val="en-US"/>
        </w:rPr>
      </w:pPr>
      <w:r>
        <w:rPr>
          <w:lang w:val="en-US"/>
        </w:rPr>
        <w:t>The IAB class has a significant impact on the core requirements. RF core requirements differ between the two classes, and the RRM requirements for the wide area IAB class are a subset of those for the local area IAB class.</w:t>
      </w:r>
    </w:p>
    <w:p w14:paraId="754A57BB" w14:textId="77777777" w:rsidR="00914D67" w:rsidRDefault="00914D67" w:rsidP="00132FD0">
      <w:pPr>
        <w:rPr>
          <w:lang w:val="en-US"/>
        </w:rPr>
      </w:pPr>
      <w:r>
        <w:rPr>
          <w:lang w:val="en-US"/>
        </w:rPr>
        <w:t>It should be noted that IAB is currently only specified for TDD bands. FDD IAB is not covered by the current specifications and would be complex in RF terms.</w:t>
      </w:r>
    </w:p>
    <w:p w14:paraId="40149F1D" w14:textId="77777777" w:rsidR="006E062C" w:rsidRDefault="0069164B" w:rsidP="006E062C">
      <w:pPr>
        <w:pStyle w:val="Heading1"/>
        <w:rPr>
          <w:lang w:val="en-US"/>
        </w:rPr>
      </w:pPr>
      <w:r>
        <w:rPr>
          <w:lang w:val="en-US"/>
        </w:rPr>
        <w:t>On IAB performance requirements</w:t>
      </w:r>
    </w:p>
    <w:p w14:paraId="7228F0E0" w14:textId="77777777" w:rsidR="0069164B" w:rsidRDefault="0069164B" w:rsidP="008D6D1A">
      <w:pPr>
        <w:rPr>
          <w:lang w:val="en-US"/>
        </w:rPr>
      </w:pPr>
      <w:r>
        <w:rPr>
          <w:lang w:val="en-US"/>
        </w:rPr>
        <w:t>Since an IAB contains a DU, which receives “uplink” channels and an MT, which receives “</w:t>
      </w:r>
      <w:r w:rsidR="00620061">
        <w:rPr>
          <w:lang w:val="en-US"/>
        </w:rPr>
        <w:t>downlink</w:t>
      </w:r>
      <w:r>
        <w:rPr>
          <w:lang w:val="en-US"/>
        </w:rPr>
        <w:t xml:space="preserve">” channels, performance requirements will encompass both. </w:t>
      </w:r>
      <w:r w:rsidR="007E04CC">
        <w:rPr>
          <w:lang w:val="en-US"/>
        </w:rPr>
        <w:t>For release 16, t</w:t>
      </w:r>
      <w:r>
        <w:rPr>
          <w:lang w:val="en-US"/>
        </w:rPr>
        <w:t>here is no overlap in baseband functionality between DU and MT, so from a performance requirements point of view they can be treated separately.</w:t>
      </w:r>
      <w:r w:rsidR="007E04CC">
        <w:rPr>
          <w:lang w:val="en-US"/>
        </w:rPr>
        <w:t xml:space="preserve"> It should be noted that one of the objectives for the rel-17 IAB WI is to specify simultaneous RX for DU and MT; in this case both PDSCH and PUSCH may be demodulated simultaneously. Although there is no need for any discussion now, the specification structure should be forward compatible for such operation in later releases.</w:t>
      </w:r>
    </w:p>
    <w:p w14:paraId="27ADBD4F" w14:textId="77777777" w:rsidR="0069164B" w:rsidRDefault="0069164B" w:rsidP="008D6D1A">
      <w:pPr>
        <w:rPr>
          <w:b/>
          <w:bCs/>
          <w:lang w:val="en-US"/>
        </w:rPr>
      </w:pPr>
      <w:r>
        <w:rPr>
          <w:b/>
          <w:bCs/>
          <w:lang w:val="en-US"/>
        </w:rPr>
        <w:t>Proposal 1: Performance requirements for DU and MT can be treated separately</w:t>
      </w:r>
      <w:r w:rsidR="007E04CC">
        <w:rPr>
          <w:b/>
          <w:bCs/>
          <w:lang w:val="en-US"/>
        </w:rPr>
        <w:t xml:space="preserve"> for release 16</w:t>
      </w:r>
      <w:r>
        <w:rPr>
          <w:b/>
          <w:bCs/>
          <w:lang w:val="en-US"/>
        </w:rPr>
        <w:t>.</w:t>
      </w:r>
    </w:p>
    <w:p w14:paraId="4F4443F5" w14:textId="77777777" w:rsidR="007E04CC" w:rsidRDefault="007E04CC" w:rsidP="008D6D1A">
      <w:pPr>
        <w:rPr>
          <w:b/>
          <w:bCs/>
          <w:lang w:val="en-US"/>
        </w:rPr>
      </w:pPr>
    </w:p>
    <w:p w14:paraId="08EFFA0E" w14:textId="77777777" w:rsidR="0069164B" w:rsidRDefault="0069164B" w:rsidP="008D6D1A">
      <w:pPr>
        <w:rPr>
          <w:lang w:val="en-US"/>
        </w:rPr>
      </w:pPr>
      <w:r>
        <w:rPr>
          <w:lang w:val="en-US"/>
        </w:rPr>
        <w:t xml:space="preserve">The RF requirements for the IAB-DU have been agreed to be the same as those for </w:t>
      </w:r>
      <w:proofErr w:type="spellStart"/>
      <w:r>
        <w:rPr>
          <w:lang w:val="en-US"/>
        </w:rPr>
        <w:t>gNB</w:t>
      </w:r>
      <w:proofErr w:type="spellEnd"/>
      <w:r>
        <w:rPr>
          <w:lang w:val="en-US"/>
        </w:rPr>
        <w:t xml:space="preserve">. Since the IAB-DU has the same function as a </w:t>
      </w:r>
      <w:proofErr w:type="spellStart"/>
      <w:r>
        <w:rPr>
          <w:lang w:val="en-US"/>
        </w:rPr>
        <w:t>basestation</w:t>
      </w:r>
      <w:proofErr w:type="spellEnd"/>
      <w:r>
        <w:rPr>
          <w:lang w:val="en-US"/>
        </w:rPr>
        <w:t>, our understanding is that the BS performance requirements can be re-used for the IAB-DU.</w:t>
      </w:r>
    </w:p>
    <w:p w14:paraId="79589BB6" w14:textId="77777777" w:rsidR="0069164B" w:rsidRDefault="0069164B" w:rsidP="008D6D1A">
      <w:pPr>
        <w:rPr>
          <w:b/>
          <w:bCs/>
          <w:lang w:val="en-US"/>
        </w:rPr>
      </w:pPr>
      <w:r>
        <w:rPr>
          <w:b/>
          <w:bCs/>
          <w:lang w:val="en-US"/>
        </w:rPr>
        <w:t>Proposal 2: BS performance requirements are re-used for IAB-DU</w:t>
      </w:r>
    </w:p>
    <w:p w14:paraId="575A90E6" w14:textId="77777777" w:rsidR="0069164B" w:rsidRDefault="0069164B" w:rsidP="008D6D1A">
      <w:pPr>
        <w:rPr>
          <w:lang w:val="en-US"/>
        </w:rPr>
      </w:pPr>
    </w:p>
    <w:p w14:paraId="30D54BDE" w14:textId="77777777" w:rsidR="00C01F33" w:rsidRPr="00F6302A" w:rsidRDefault="00C01F33" w:rsidP="00C01F33">
      <w:pPr>
        <w:pStyle w:val="Heading1"/>
        <w:rPr>
          <w:lang w:val="en-US"/>
        </w:rPr>
      </w:pPr>
      <w:r w:rsidRPr="00F6302A">
        <w:rPr>
          <w:lang w:val="en-US"/>
        </w:rPr>
        <w:t>Conclusion</w:t>
      </w:r>
    </w:p>
    <w:p w14:paraId="01CC53AD" w14:textId="77777777" w:rsidR="003117B3" w:rsidRDefault="003117B3" w:rsidP="00311702">
      <w:pPr>
        <w:rPr>
          <w:lang w:val="en-US"/>
        </w:rPr>
      </w:pPr>
      <w:r>
        <w:rPr>
          <w:lang w:val="en-US"/>
        </w:rPr>
        <w:t>This contribution has considered the IAB concept in outline and the impact for IAB performance requirements.</w:t>
      </w:r>
    </w:p>
    <w:p w14:paraId="16B2C707" w14:textId="77777777" w:rsidR="00BC10D6" w:rsidRDefault="00BC10D6" w:rsidP="00BC10D6">
      <w:pPr>
        <w:rPr>
          <w:b/>
          <w:bCs/>
          <w:lang w:val="en-US"/>
        </w:rPr>
      </w:pPr>
      <w:r>
        <w:rPr>
          <w:b/>
          <w:bCs/>
          <w:lang w:val="en-US"/>
        </w:rPr>
        <w:t>Proposal 1: Performance requirements for DU and MT can be treated separately for release 16.</w:t>
      </w:r>
    </w:p>
    <w:p w14:paraId="638A0D58" w14:textId="77777777" w:rsidR="00BC10D6" w:rsidRDefault="00BC10D6" w:rsidP="00BC10D6">
      <w:pPr>
        <w:rPr>
          <w:b/>
          <w:bCs/>
          <w:lang w:val="en-US"/>
        </w:rPr>
      </w:pPr>
      <w:r>
        <w:rPr>
          <w:b/>
          <w:bCs/>
          <w:lang w:val="en-US"/>
        </w:rPr>
        <w:t>Proposal 2: BS performance requirements are re-used for IAB-DU</w:t>
      </w:r>
    </w:p>
    <w:p w14:paraId="730A5FCF" w14:textId="77777777" w:rsidR="003A7EF3" w:rsidRPr="00F6302A" w:rsidRDefault="003A7EF3" w:rsidP="00311702">
      <w:pPr>
        <w:pStyle w:val="BodyText"/>
        <w:rPr>
          <w:lang w:val="en-US"/>
        </w:rPr>
      </w:pPr>
      <w:bookmarkStart w:id="1" w:name="_In-sequence_SDU_delivery"/>
      <w:bookmarkEnd w:id="1"/>
    </w:p>
    <w:sectPr w:rsidR="003A7EF3" w:rsidRPr="00F6302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75395" w14:textId="77777777" w:rsidR="004A780A" w:rsidRDefault="004A780A">
      <w:r>
        <w:separator/>
      </w:r>
    </w:p>
  </w:endnote>
  <w:endnote w:type="continuationSeparator" w:id="0">
    <w:p w14:paraId="4FEE8A2B" w14:textId="77777777" w:rsidR="004A780A" w:rsidRDefault="004A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E4E95"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99831" w14:textId="77777777" w:rsidR="004A780A" w:rsidRDefault="004A780A">
      <w:r>
        <w:separator/>
      </w:r>
    </w:p>
  </w:footnote>
  <w:footnote w:type="continuationSeparator" w:id="0">
    <w:p w14:paraId="71FEC555" w14:textId="77777777" w:rsidR="004A780A" w:rsidRDefault="004A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1934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394E66"/>
    <w:multiLevelType w:val="hybridMultilevel"/>
    <w:tmpl w:val="D018D9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607882"/>
    <w:multiLevelType w:val="hybridMultilevel"/>
    <w:tmpl w:val="A4C0F17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0"/>
  </w:num>
  <w:num w:numId="8">
    <w:abstractNumId w:val="4"/>
  </w:num>
  <w:num w:numId="9">
    <w:abstractNumId w:val="2"/>
  </w:num>
  <w:num w:numId="10">
    <w:abstractNumId w:val="1"/>
  </w:num>
  <w:num w:numId="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48B3"/>
    <w:rsid w:val="000855EB"/>
    <w:rsid w:val="00085B52"/>
    <w:rsid w:val="000866F2"/>
    <w:rsid w:val="0009009F"/>
    <w:rsid w:val="00091557"/>
    <w:rsid w:val="000924C1"/>
    <w:rsid w:val="000924F0"/>
    <w:rsid w:val="00093474"/>
    <w:rsid w:val="0009510F"/>
    <w:rsid w:val="000A1B7B"/>
    <w:rsid w:val="000A56F2"/>
    <w:rsid w:val="000B2719"/>
    <w:rsid w:val="000B3A8F"/>
    <w:rsid w:val="000B3CBC"/>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14C"/>
    <w:rsid w:val="001E58E2"/>
    <w:rsid w:val="001E7AED"/>
    <w:rsid w:val="001F3916"/>
    <w:rsid w:val="001F54C5"/>
    <w:rsid w:val="001F662C"/>
    <w:rsid w:val="001F7074"/>
    <w:rsid w:val="001F7630"/>
    <w:rsid w:val="00200490"/>
    <w:rsid w:val="00201F3A"/>
    <w:rsid w:val="00203F96"/>
    <w:rsid w:val="00204BF1"/>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5F2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7B3"/>
    <w:rsid w:val="00311E82"/>
    <w:rsid w:val="00313FD6"/>
    <w:rsid w:val="003143BD"/>
    <w:rsid w:val="003203ED"/>
    <w:rsid w:val="00322C9F"/>
    <w:rsid w:val="00324A10"/>
    <w:rsid w:val="00324D23"/>
    <w:rsid w:val="00331751"/>
    <w:rsid w:val="00334579"/>
    <w:rsid w:val="00335858"/>
    <w:rsid w:val="00336BDA"/>
    <w:rsid w:val="00342BD7"/>
    <w:rsid w:val="00346DB5"/>
    <w:rsid w:val="003477B1"/>
    <w:rsid w:val="00357380"/>
    <w:rsid w:val="003602D9"/>
    <w:rsid w:val="003604CE"/>
    <w:rsid w:val="003659AB"/>
    <w:rsid w:val="00370E47"/>
    <w:rsid w:val="003742AC"/>
    <w:rsid w:val="00377CE1"/>
    <w:rsid w:val="00385BF0"/>
    <w:rsid w:val="003939FF"/>
    <w:rsid w:val="003A2223"/>
    <w:rsid w:val="003A2A0F"/>
    <w:rsid w:val="003A45A1"/>
    <w:rsid w:val="003A5B0A"/>
    <w:rsid w:val="003A6BAC"/>
    <w:rsid w:val="003A7EF3"/>
    <w:rsid w:val="003B159C"/>
    <w:rsid w:val="003B1843"/>
    <w:rsid w:val="003B369F"/>
    <w:rsid w:val="003B36A3"/>
    <w:rsid w:val="003B7FE5"/>
    <w:rsid w:val="003C0CFF"/>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780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77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061"/>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64B"/>
    <w:rsid w:val="00695FC2"/>
    <w:rsid w:val="00696949"/>
    <w:rsid w:val="00697052"/>
    <w:rsid w:val="006A46FB"/>
    <w:rsid w:val="006A5E28"/>
    <w:rsid w:val="006A697B"/>
    <w:rsid w:val="006A7AFF"/>
    <w:rsid w:val="006B1816"/>
    <w:rsid w:val="006B2099"/>
    <w:rsid w:val="006B4D0B"/>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63F"/>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96AE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4CC"/>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F7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1899"/>
    <w:rsid w:val="00902350"/>
    <w:rsid w:val="0090336B"/>
    <w:rsid w:val="009053AA"/>
    <w:rsid w:val="00906939"/>
    <w:rsid w:val="00910B7D"/>
    <w:rsid w:val="00911DFB"/>
    <w:rsid w:val="009139D9"/>
    <w:rsid w:val="00914AD8"/>
    <w:rsid w:val="00914D67"/>
    <w:rsid w:val="00916079"/>
    <w:rsid w:val="00917CE9"/>
    <w:rsid w:val="00920BF2"/>
    <w:rsid w:val="00922010"/>
    <w:rsid w:val="00931BD9"/>
    <w:rsid w:val="009368F3"/>
    <w:rsid w:val="00941636"/>
    <w:rsid w:val="00943742"/>
    <w:rsid w:val="0094547B"/>
    <w:rsid w:val="00945C05"/>
    <w:rsid w:val="00946945"/>
    <w:rsid w:val="00947713"/>
    <w:rsid w:val="00950DE7"/>
    <w:rsid w:val="00953920"/>
    <w:rsid w:val="00953D47"/>
    <w:rsid w:val="00955BF9"/>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3ABD"/>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45BE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B3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5E2"/>
    <w:rsid w:val="00B664C7"/>
    <w:rsid w:val="00B6709B"/>
    <w:rsid w:val="00B733EE"/>
    <w:rsid w:val="00B739F6"/>
    <w:rsid w:val="00B81A6C"/>
    <w:rsid w:val="00B85DE5"/>
    <w:rsid w:val="00B90F73"/>
    <w:rsid w:val="00B93B59"/>
    <w:rsid w:val="00B9406A"/>
    <w:rsid w:val="00BA2280"/>
    <w:rsid w:val="00BA2A08"/>
    <w:rsid w:val="00BA56D2"/>
    <w:rsid w:val="00BA76E0"/>
    <w:rsid w:val="00BB2A25"/>
    <w:rsid w:val="00BB51E9"/>
    <w:rsid w:val="00BC0FDC"/>
    <w:rsid w:val="00BC10D6"/>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6028"/>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F9E"/>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274B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DB2"/>
    <w:rsid w:val="00E54E3B"/>
    <w:rsid w:val="00E57565"/>
    <w:rsid w:val="00E63838"/>
    <w:rsid w:val="00E64434"/>
    <w:rsid w:val="00E67C51"/>
    <w:rsid w:val="00E72EFC"/>
    <w:rsid w:val="00E758EC"/>
    <w:rsid w:val="00E8234C"/>
    <w:rsid w:val="00E83AA9"/>
    <w:rsid w:val="00E85928"/>
    <w:rsid w:val="00E87822"/>
    <w:rsid w:val="00E90395"/>
    <w:rsid w:val="00E90E49"/>
    <w:rsid w:val="00E91758"/>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A8C"/>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3BD"/>
    <w:rsid w:val="00F74BB9"/>
    <w:rsid w:val="00F75582"/>
    <w:rsid w:val="00F76EFA"/>
    <w:rsid w:val="00F804BE"/>
    <w:rsid w:val="00F817CE"/>
    <w:rsid w:val="00F8456C"/>
    <w:rsid w:val="00F84FC2"/>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7286A"/>
  <w15:chartTrackingRefBased/>
  <w15:docId w15:val="{E5EAD418-DCFF-48E5-8C76-815D66A3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DB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54D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4DB2"/>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35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0D1FB-369F-4357-BF4E-DC125850E1D0}">
  <ds:schemaRefs>
    <ds:schemaRef ds:uri="http://schemas.microsoft.com/sharepoint/v3/contenttype/forms"/>
  </ds:schemaRefs>
</ds:datastoreItem>
</file>

<file path=customXml/itemProps2.xml><?xml version="1.0" encoding="utf-8"?>
<ds:datastoreItem xmlns:ds="http://schemas.openxmlformats.org/officeDocument/2006/customXml" ds:itemID="{C0EC516C-AE3F-48F5-B29F-2F3BB461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87F33-DC4D-4700-9546-73C73D64FD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B14D0-1CD7-4536-9766-620819BF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788</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5</cp:revision>
  <cp:lastPrinted>2008-01-31T07:09:00Z</cp:lastPrinted>
  <dcterms:created xsi:type="dcterms:W3CDTF">2020-08-05T16:25:00Z</dcterms:created>
  <dcterms:modified xsi:type="dcterms:W3CDTF">2020-08-07T12:11:00Z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